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C5" w:rsidRDefault="001560C5" w:rsidP="001560C5">
      <w:pPr>
        <w:spacing w:after="0"/>
        <w:jc w:val="both"/>
        <w:rPr>
          <w:rFonts w:ascii="Times New Roman" w:hAnsi="Times New Roman"/>
        </w:rPr>
      </w:pPr>
    </w:p>
    <w:p w:rsidR="001560C5" w:rsidRDefault="001560C5" w:rsidP="001560C5">
      <w:pPr>
        <w:spacing w:after="0"/>
        <w:jc w:val="both"/>
        <w:rPr>
          <w:rFonts w:ascii="Times New Roman" w:hAnsi="Times New Roman"/>
        </w:rPr>
      </w:pPr>
    </w:p>
    <w:p w:rsidR="001560C5" w:rsidRDefault="001560C5" w:rsidP="001560C5">
      <w:pPr>
        <w:spacing w:after="0"/>
        <w:jc w:val="both"/>
        <w:rPr>
          <w:rFonts w:ascii="Times New Roman" w:hAnsi="Times New Roman"/>
        </w:rPr>
      </w:pPr>
    </w:p>
    <w:p w:rsidR="001560C5" w:rsidRDefault="001560C5" w:rsidP="001560C5">
      <w:pPr>
        <w:spacing w:after="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9778"/>
      </w:tblGrid>
      <w:tr w:rsidR="001560C5" w:rsidTr="009C1ECE">
        <w:tc>
          <w:tcPr>
            <w:tcW w:w="9778" w:type="dxa"/>
            <w:tcBorders>
              <w:top w:val="single" w:sz="4" w:space="0" w:color="auto"/>
              <w:left w:val="single" w:sz="4" w:space="0" w:color="auto"/>
              <w:bottom w:val="single" w:sz="4" w:space="0" w:color="auto"/>
              <w:right w:val="single" w:sz="4" w:space="0" w:color="auto"/>
            </w:tcBorders>
            <w:shd w:val="clear" w:color="auto" w:fill="F2F2F2"/>
            <w:hideMark/>
          </w:tcPr>
          <w:p w:rsidR="001560C5" w:rsidRDefault="001560C5" w:rsidP="009C1ECE">
            <w:pPr>
              <w:jc w:val="center"/>
              <w:rPr>
                <w:rFonts w:cs="Calibri"/>
                <w:b/>
                <w:smallCaps/>
                <w:sz w:val="40"/>
                <w:szCs w:val="40"/>
              </w:rPr>
            </w:pPr>
            <w:r>
              <w:rPr>
                <w:b/>
                <w:smallCaps/>
                <w:sz w:val="40"/>
                <w:szCs w:val="40"/>
              </w:rPr>
              <w:t xml:space="preserve">Relazione Economico Finanziaria al Conto di Bilancio </w:t>
            </w:r>
          </w:p>
          <w:p w:rsidR="001560C5" w:rsidRDefault="001560C5" w:rsidP="005954F2">
            <w:pPr>
              <w:jc w:val="center"/>
              <w:rPr>
                <w:rFonts w:cs="Calibri"/>
                <w:b/>
                <w:smallCaps/>
                <w:sz w:val="40"/>
                <w:szCs w:val="40"/>
              </w:rPr>
            </w:pPr>
            <w:r>
              <w:rPr>
                <w:b/>
                <w:smallCaps/>
                <w:sz w:val="40"/>
                <w:szCs w:val="40"/>
              </w:rPr>
              <w:t>per l’Esercizio 20</w:t>
            </w:r>
            <w:r w:rsidR="005954F2">
              <w:rPr>
                <w:b/>
                <w:smallCaps/>
                <w:sz w:val="40"/>
                <w:szCs w:val="40"/>
              </w:rPr>
              <w:t>20</w:t>
            </w:r>
          </w:p>
        </w:tc>
      </w:tr>
    </w:tbl>
    <w:p w:rsidR="001560C5" w:rsidRDefault="001560C5" w:rsidP="001560C5">
      <w:pPr>
        <w:rPr>
          <w:rFonts w:cs="Calibri"/>
        </w:rPr>
      </w:pPr>
    </w:p>
    <w:p w:rsidR="001560C5" w:rsidRDefault="001560C5" w:rsidP="001560C5">
      <w:pPr>
        <w:spacing w:after="120"/>
      </w:pPr>
      <w:r>
        <w:tab/>
        <w:t>La giunta comunitaria porta all’attenzione del consiglio la presente relazione, documento che esprime le valutazioni di efficacia dell’azione condotta sulla base dei risultati conseguiti in rapporto ai programmi ed ai costi sostenuti.</w:t>
      </w:r>
    </w:p>
    <w:p w:rsidR="001560C5" w:rsidRDefault="001560C5" w:rsidP="001560C5">
      <w:pPr>
        <w:spacing w:after="120"/>
      </w:pPr>
      <w:r>
        <w:t xml:space="preserve">Dato atto che: </w:t>
      </w:r>
    </w:p>
    <w:p w:rsidR="001560C5" w:rsidRDefault="001560C5" w:rsidP="001560C5">
      <w:pPr>
        <w:numPr>
          <w:ilvl w:val="0"/>
          <w:numId w:val="1"/>
        </w:numPr>
        <w:spacing w:after="120"/>
      </w:pPr>
      <w:r>
        <w:t xml:space="preserve">Le informazioni fornite della contabilità finanziaria rimangono comunque il pilastro della contabilità degli enti pubblici , in quanto esprimono l’autorizzazione alla spesa (consumo) di ricchezza della collettività, alla verifica costante degli equilibri di bilancio, elemento vitale per l’ente pubblico; </w:t>
      </w:r>
    </w:p>
    <w:p w:rsidR="001560C5" w:rsidRDefault="001560C5" w:rsidP="001560C5">
      <w:pPr>
        <w:numPr>
          <w:ilvl w:val="0"/>
          <w:numId w:val="1"/>
        </w:numPr>
        <w:spacing w:after="120"/>
        <w:jc w:val="both"/>
      </w:pPr>
      <w:r>
        <w:t xml:space="preserve">L’ente, avvalendosi della facoltà di cui all’articolo 232 del decreto legislativo numero 267/2000 ha adottato il sistema di contabilità semplificata con la tenuta della sola contabilità finanziaria ed utilizzo del conto del bilancio per costruire a fine esercizio, attraverso la conciliazione dei valori, il conto del patrimonio; </w:t>
      </w:r>
    </w:p>
    <w:p w:rsidR="001560C5" w:rsidRDefault="001560C5" w:rsidP="001560C5">
      <w:pPr>
        <w:numPr>
          <w:ilvl w:val="0"/>
          <w:numId w:val="1"/>
        </w:numPr>
        <w:spacing w:after="120"/>
      </w:pPr>
      <w:r>
        <w:t xml:space="preserve">Il rendiconto è stato compilato secondo i principi fondamentali di bilancio ; </w:t>
      </w:r>
    </w:p>
    <w:p w:rsidR="001560C5" w:rsidRDefault="001560C5" w:rsidP="001560C5">
      <w:pPr>
        <w:numPr>
          <w:ilvl w:val="0"/>
          <w:numId w:val="1"/>
        </w:numPr>
        <w:spacing w:after="120"/>
      </w:pPr>
      <w:r>
        <w:t>Il bilancio di previsione per l’anno 20</w:t>
      </w:r>
      <w:r w:rsidR="008D5379">
        <w:t>20</w:t>
      </w:r>
      <w:r>
        <w:t xml:space="preserve">  è stato approvato con deliberazione consiliare numero   </w:t>
      </w:r>
      <w:r w:rsidR="00BA72F7">
        <w:t xml:space="preserve">6 del </w:t>
      </w:r>
      <w:r w:rsidR="005954F2">
        <w:t>21</w:t>
      </w:r>
      <w:r w:rsidR="00BA72F7">
        <w:t>/</w:t>
      </w:r>
      <w:r w:rsidR="005954F2">
        <w:t>05</w:t>
      </w:r>
      <w:r w:rsidR="00BA72F7">
        <w:t>/20</w:t>
      </w:r>
      <w:r w:rsidR="005954F2">
        <w:t>20</w:t>
      </w:r>
      <w:r>
        <w:t xml:space="preserve">; </w:t>
      </w:r>
    </w:p>
    <w:p w:rsidR="001560C5" w:rsidRDefault="001560C5" w:rsidP="001560C5">
      <w:pPr>
        <w:numPr>
          <w:ilvl w:val="0"/>
          <w:numId w:val="1"/>
        </w:numPr>
        <w:spacing w:after="120"/>
      </w:pPr>
      <w:r>
        <w:t xml:space="preserve">È stato presentato nei termini di legge il rendiconto della gestione di cassa da parte della Tesoreria Comunitaria; </w:t>
      </w:r>
    </w:p>
    <w:p w:rsidR="001560C5" w:rsidRDefault="001560C5" w:rsidP="001560C5">
      <w:pPr>
        <w:numPr>
          <w:ilvl w:val="0"/>
          <w:numId w:val="1"/>
        </w:numPr>
        <w:spacing w:after="120"/>
      </w:pPr>
      <w:r>
        <w:t xml:space="preserve">Si è provveduto alla revisione dei residui attivi e passivi ai sensi dell’articolo 228, comma 3, del decreto legislativo numero 267/2000; </w:t>
      </w:r>
    </w:p>
    <w:p w:rsidR="001560C5" w:rsidRDefault="001560C5" w:rsidP="001560C5">
      <w:pPr>
        <w:spacing w:after="120"/>
        <w:ind w:left="360"/>
      </w:pPr>
      <w:r>
        <w:t>Il conto del bilancio per l’anno 20</w:t>
      </w:r>
      <w:r w:rsidR="005954F2">
        <w:t>20</w:t>
      </w:r>
      <w:r>
        <w:t xml:space="preserve">  presenta le seguenti risultanze: </w:t>
      </w:r>
    </w:p>
    <w:p w:rsidR="001560C5" w:rsidRDefault="001560C5" w:rsidP="001560C5">
      <w:pPr>
        <w:spacing w:after="120"/>
        <w:ind w:left="360"/>
      </w:pPr>
      <w:r>
        <w:t>GESTIONE FINANZIARIA</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4"/>
        <w:gridCol w:w="425"/>
        <w:gridCol w:w="2127"/>
      </w:tblGrid>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BA72F7">
            <w:pPr>
              <w:spacing w:after="120"/>
              <w:rPr>
                <w:rFonts w:cs="Calibri"/>
              </w:rPr>
            </w:pPr>
            <w:r>
              <w:t>Fondo di cassa al 1..1.201</w:t>
            </w:r>
            <w:r w:rsidR="00BA72F7">
              <w:t>9</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9C1ECE">
            <w:pPr>
              <w:spacing w:after="120"/>
              <w:jc w:val="right"/>
              <w:rPr>
                <w:rFonts w:cs="Calibri"/>
              </w:rPr>
            </w:pPr>
            <w:r>
              <w:rPr>
                <w:rFonts w:cs="Calibri"/>
              </w:rPr>
              <w:t>597.449,19</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Riscossioni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5954F2">
            <w:pPr>
              <w:spacing w:after="120"/>
              <w:jc w:val="right"/>
              <w:rPr>
                <w:rFonts w:cs="Calibri"/>
              </w:rPr>
            </w:pPr>
            <w:r>
              <w:rPr>
                <w:rFonts w:cs="Calibri"/>
              </w:rPr>
              <w:t>520.162,38</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Pagamenti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9C1ECE">
            <w:pPr>
              <w:spacing w:after="120"/>
              <w:jc w:val="right"/>
              <w:rPr>
                <w:rFonts w:cs="Calibri"/>
              </w:rPr>
            </w:pPr>
            <w:r>
              <w:rPr>
                <w:rFonts w:cs="Calibri"/>
              </w:rPr>
              <w:t>467.422,20</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BA72F7">
            <w:pPr>
              <w:spacing w:after="120"/>
              <w:rPr>
                <w:rFonts w:cs="Calibri"/>
              </w:rPr>
            </w:pPr>
            <w:r>
              <w:t>Fondo cassa al 31.12.201</w:t>
            </w:r>
            <w:r w:rsidR="00BA72F7">
              <w:t>9</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9C1ECE">
            <w:pPr>
              <w:spacing w:after="120"/>
              <w:jc w:val="right"/>
              <w:rPr>
                <w:rFonts w:cs="Calibri"/>
              </w:rPr>
            </w:pPr>
            <w:r>
              <w:rPr>
                <w:rFonts w:cs="Calibri"/>
              </w:rPr>
              <w:t>650.189,37q</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Residui Attivi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632DDC">
            <w:pPr>
              <w:spacing w:after="120"/>
              <w:jc w:val="right"/>
              <w:rPr>
                <w:rFonts w:cs="Calibri"/>
              </w:rPr>
            </w:pPr>
            <w:r>
              <w:rPr>
                <w:rFonts w:cs="Calibri"/>
              </w:rPr>
              <w:t>765.631,40</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Residui Passivi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9C1ECE">
            <w:pPr>
              <w:spacing w:after="120"/>
              <w:jc w:val="right"/>
              <w:rPr>
                <w:rFonts w:cs="Calibri"/>
              </w:rPr>
            </w:pPr>
            <w:r>
              <w:rPr>
                <w:rFonts w:cs="Calibri"/>
              </w:rPr>
              <w:t>875.734,51</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 xml:space="preserve">AVANZO </w:t>
            </w:r>
            <w:proofErr w:type="spellStart"/>
            <w:r>
              <w:t>DI</w:t>
            </w:r>
            <w:proofErr w:type="spellEnd"/>
            <w:r>
              <w:t xml:space="preserve"> AMMINISTRAZIONE</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632DDC">
            <w:pPr>
              <w:spacing w:after="120"/>
              <w:jc w:val="right"/>
              <w:rPr>
                <w:rFonts w:cs="Calibri"/>
              </w:rPr>
            </w:pPr>
            <w:r>
              <w:rPr>
                <w:rFonts w:cs="Calibri"/>
              </w:rPr>
              <w:t>540.086,26</w:t>
            </w:r>
          </w:p>
        </w:tc>
      </w:tr>
    </w:tbl>
    <w:p w:rsidR="001560C5" w:rsidRDefault="001560C5" w:rsidP="001560C5">
      <w:pPr>
        <w:spacing w:after="120"/>
        <w:ind w:left="1080"/>
        <w:rPr>
          <w:rFonts w:cs="Calibri"/>
        </w:rPr>
      </w:pPr>
      <w:r>
        <w:t xml:space="preserve">di cui: </w:t>
      </w:r>
    </w:p>
    <w:tbl>
      <w:tblPr>
        <w:tblW w:w="0" w:type="auto"/>
        <w:tblInd w:w="12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701"/>
        <w:gridCol w:w="426"/>
        <w:gridCol w:w="2126"/>
      </w:tblGrid>
      <w:tr w:rsidR="001560C5" w:rsidTr="009C1ECE">
        <w:tc>
          <w:tcPr>
            <w:tcW w:w="170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lastRenderedPageBreak/>
              <w:t xml:space="preserve">Vincolato    </w:t>
            </w:r>
          </w:p>
        </w:tc>
        <w:tc>
          <w:tcPr>
            <w:tcW w:w="4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0" w:line="240" w:lineRule="auto"/>
              <w:rPr>
                <w:sz w:val="20"/>
                <w:szCs w:val="20"/>
                <w:lang w:eastAsia="it-IT"/>
              </w:rPr>
            </w:pPr>
          </w:p>
        </w:tc>
      </w:tr>
      <w:tr w:rsidR="001560C5" w:rsidTr="009C1ECE">
        <w:tc>
          <w:tcPr>
            <w:tcW w:w="170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Disponibile</w:t>
            </w:r>
          </w:p>
        </w:tc>
        <w:tc>
          <w:tcPr>
            <w:tcW w:w="4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0" w:line="240" w:lineRule="auto"/>
              <w:rPr>
                <w:sz w:val="20"/>
                <w:szCs w:val="20"/>
                <w:lang w:eastAsia="it-IT"/>
              </w:rPr>
            </w:pPr>
          </w:p>
        </w:tc>
      </w:tr>
    </w:tbl>
    <w:p w:rsidR="001560C5" w:rsidRDefault="001560C5" w:rsidP="001560C5">
      <w:pPr>
        <w:spacing w:after="120"/>
        <w:ind w:left="2700"/>
        <w:rPr>
          <w:rFonts w:cs="Calibri"/>
        </w:rPr>
      </w:pPr>
    </w:p>
    <w:p w:rsidR="001560C5" w:rsidRDefault="001560C5" w:rsidP="001560C5">
      <w:pPr>
        <w:tabs>
          <w:tab w:val="left" w:pos="0"/>
        </w:tabs>
        <w:spacing w:after="120"/>
        <w:jc w:val="center"/>
        <w:rPr>
          <w:b/>
        </w:rPr>
      </w:pPr>
      <w:r>
        <w:rPr>
          <w:b/>
        </w:rPr>
        <w:t>ANALISI DELLE ENTRATE</w:t>
      </w:r>
    </w:p>
    <w:p w:rsidR="001560C5" w:rsidRDefault="001560C5" w:rsidP="001560C5">
      <w:pPr>
        <w:tabs>
          <w:tab w:val="left" w:pos="3420"/>
        </w:tabs>
        <w:spacing w:after="120"/>
      </w:pPr>
      <w:r>
        <w:t>Le entrate dei titoli I,</w:t>
      </w:r>
      <w:proofErr w:type="spellStart"/>
      <w:r>
        <w:t>II</w:t>
      </w:r>
      <w:proofErr w:type="spellEnd"/>
      <w:r>
        <w:t xml:space="preserve"> e III accertate in conto competenza ammontano a € e sono costituite da: </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4"/>
        <w:gridCol w:w="425"/>
        <w:gridCol w:w="2127"/>
      </w:tblGrid>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Entrate tributarie</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Trasferimenti statali e regionali e altri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5954F2">
            <w:pPr>
              <w:spacing w:after="120"/>
              <w:jc w:val="right"/>
              <w:rPr>
                <w:rFonts w:cs="Calibri"/>
              </w:rPr>
            </w:pPr>
            <w:r>
              <w:rPr>
                <w:rFonts w:cs="Calibri"/>
              </w:rPr>
              <w:t>340.454,92</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Entrate extratributarie</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9C1ECE">
            <w:pPr>
              <w:spacing w:after="120"/>
              <w:jc w:val="right"/>
              <w:rPr>
                <w:rFonts w:cs="Calibri"/>
              </w:rPr>
            </w:pPr>
            <w:r>
              <w:rPr>
                <w:rFonts w:cs="Calibri"/>
              </w:rPr>
              <w:t>26.637,12</w:t>
            </w:r>
          </w:p>
        </w:tc>
      </w:tr>
      <w:tr w:rsidR="005954F2" w:rsidTr="009C1ECE">
        <w:tc>
          <w:tcPr>
            <w:tcW w:w="6694" w:type="dxa"/>
            <w:tcBorders>
              <w:top w:val="dotted" w:sz="4" w:space="0" w:color="auto"/>
              <w:left w:val="dotted" w:sz="4" w:space="0" w:color="auto"/>
              <w:bottom w:val="dotted" w:sz="4" w:space="0" w:color="auto"/>
              <w:right w:val="dotted" w:sz="4" w:space="0" w:color="auto"/>
            </w:tcBorders>
          </w:tcPr>
          <w:p w:rsidR="005954F2" w:rsidRDefault="005954F2" w:rsidP="005954F2">
            <w:pPr>
              <w:spacing w:after="120"/>
            </w:pPr>
            <w:r>
              <w:t>Entrate in c/ capitale</w:t>
            </w:r>
          </w:p>
        </w:tc>
        <w:tc>
          <w:tcPr>
            <w:tcW w:w="425" w:type="dxa"/>
            <w:tcBorders>
              <w:top w:val="dotted" w:sz="4" w:space="0" w:color="auto"/>
              <w:left w:val="dotted" w:sz="4" w:space="0" w:color="auto"/>
              <w:bottom w:val="dotted" w:sz="4" w:space="0" w:color="auto"/>
              <w:right w:val="dotted" w:sz="4" w:space="0" w:color="auto"/>
            </w:tcBorders>
          </w:tcPr>
          <w:p w:rsidR="005954F2" w:rsidRDefault="005954F2" w:rsidP="009C1ECE">
            <w:pPr>
              <w:spacing w:after="120"/>
            </w:pPr>
            <w:r>
              <w:t>€</w:t>
            </w:r>
          </w:p>
        </w:tc>
        <w:tc>
          <w:tcPr>
            <w:tcW w:w="2127" w:type="dxa"/>
            <w:tcBorders>
              <w:top w:val="dotted" w:sz="4" w:space="0" w:color="auto"/>
              <w:left w:val="dotted" w:sz="4" w:space="0" w:color="auto"/>
              <w:bottom w:val="dotted" w:sz="4" w:space="0" w:color="auto"/>
              <w:right w:val="dotted" w:sz="4" w:space="0" w:color="auto"/>
            </w:tcBorders>
          </w:tcPr>
          <w:p w:rsidR="005954F2" w:rsidRDefault="005954F2" w:rsidP="009C1ECE">
            <w:pPr>
              <w:spacing w:after="120"/>
              <w:jc w:val="right"/>
              <w:rPr>
                <w:rFonts w:cs="Calibri"/>
              </w:rPr>
            </w:pPr>
            <w:r>
              <w:rPr>
                <w:rFonts w:cs="Calibri"/>
              </w:rPr>
              <w:t>45.262,00</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pPr>
    </w:p>
    <w:p w:rsidR="001560C5" w:rsidRDefault="001560C5" w:rsidP="001560C5">
      <w:pPr>
        <w:tabs>
          <w:tab w:val="left" w:pos="3420"/>
        </w:tabs>
        <w:spacing w:after="120"/>
      </w:pPr>
      <w:r>
        <w:t xml:space="preserve">Le entrate accertate in titolo </w:t>
      </w:r>
      <w:proofErr w:type="spellStart"/>
      <w:r>
        <w:t>III°</w:t>
      </w:r>
      <w:proofErr w:type="spellEnd"/>
      <w:r>
        <w:t xml:space="preserve"> ammontano ad €    </w:t>
      </w:r>
      <w:r w:rsidR="005954F2">
        <w:t>26.637,12</w:t>
      </w:r>
      <w:r>
        <w:t xml:space="preserve">  0</w:t>
      </w:r>
    </w:p>
    <w:p w:rsidR="001560C5" w:rsidRDefault="001560C5" w:rsidP="001560C5">
      <w:pPr>
        <w:tabs>
          <w:tab w:val="left" w:pos="3420"/>
        </w:tabs>
        <w:spacing w:after="120"/>
      </w:pPr>
      <w:r>
        <w:t>Le entrate accertate in Titolo V ammontano ad € 0   per anticipazioni di tesoreria.</w:t>
      </w:r>
    </w:p>
    <w:p w:rsidR="001560C5" w:rsidRDefault="001560C5" w:rsidP="001560C5">
      <w:pPr>
        <w:tabs>
          <w:tab w:val="left" w:pos="3420"/>
        </w:tabs>
        <w:spacing w:after="120"/>
      </w:pPr>
      <w:r>
        <w:t>Si è dovuta applicare una parte della quota   dall’avanzo di amministrazione risultante del rendiconto 201</w:t>
      </w:r>
      <w:r w:rsidR="005954F2">
        <w:t>9</w:t>
      </w:r>
      <w:r>
        <w:t xml:space="preserve"> di €.</w:t>
      </w:r>
      <w:r w:rsidR="005954F2">
        <w:t xml:space="preserve"> 85.</w:t>
      </w:r>
      <w:r>
        <w:t>.000,00</w:t>
      </w:r>
    </w:p>
    <w:p w:rsidR="001560C5" w:rsidRDefault="001560C5" w:rsidP="001560C5">
      <w:pPr>
        <w:tabs>
          <w:tab w:val="left" w:pos="3420"/>
        </w:tabs>
        <w:spacing w:after="120"/>
      </w:pPr>
      <w:r>
        <w:t xml:space="preserve">Sono stati accertati residui attivi da riportare per €   </w:t>
      </w:r>
      <w:r w:rsidR="00E91F83">
        <w:t>5</w:t>
      </w:r>
      <w:r w:rsidR="005954F2">
        <w:t>85</w:t>
      </w:r>
      <w:r w:rsidR="00E91F83">
        <w:t>.</w:t>
      </w:r>
      <w:r w:rsidR="005954F2">
        <w:t>373,34</w:t>
      </w:r>
      <w:r w:rsidR="00E91F83">
        <w:t xml:space="preserve"> </w:t>
      </w:r>
      <w:r>
        <w:t>derivanti</w:t>
      </w:r>
      <w:r w:rsidR="00BA72F7">
        <w:t xml:space="preserve"> da esercizi precedente e per €.</w:t>
      </w:r>
      <w:r w:rsidR="005954F2">
        <w:t xml:space="preserve"> 180.258,06</w:t>
      </w:r>
      <w:r>
        <w:t xml:space="preserve">  derivanti dalla competenza .</w:t>
      </w:r>
    </w:p>
    <w:p w:rsidR="001560C5" w:rsidRDefault="001560C5" w:rsidP="001560C5">
      <w:pPr>
        <w:tabs>
          <w:tab w:val="left" w:pos="3420"/>
        </w:tabs>
        <w:spacing w:after="120"/>
        <w:ind w:left="1080"/>
      </w:pPr>
    </w:p>
    <w:p w:rsidR="001560C5" w:rsidRDefault="001560C5" w:rsidP="001560C5">
      <w:pPr>
        <w:tabs>
          <w:tab w:val="left" w:pos="3420"/>
        </w:tabs>
        <w:spacing w:after="120"/>
        <w:jc w:val="center"/>
        <w:rPr>
          <w:b/>
        </w:rPr>
      </w:pPr>
      <w:r>
        <w:rPr>
          <w:b/>
        </w:rPr>
        <w:t>ANALISI DELLE SPESE</w:t>
      </w:r>
    </w:p>
    <w:p w:rsidR="001560C5" w:rsidRDefault="001560C5" w:rsidP="001560C5">
      <w:pPr>
        <w:tabs>
          <w:tab w:val="left" w:pos="3420"/>
        </w:tabs>
        <w:spacing w:after="120"/>
      </w:pPr>
      <w:r>
        <w:t>Le spese correnti (titolo I) impegnate nel corso dell’anno 20</w:t>
      </w:r>
      <w:r w:rsidR="005954F2">
        <w:t>20</w:t>
      </w:r>
      <w:r>
        <w:t xml:space="preserve">  ammontano ad euro € </w:t>
      </w:r>
      <w:r w:rsidR="00960B4B">
        <w:t xml:space="preserve"> </w:t>
      </w:r>
      <w:r w:rsidR="008D5379">
        <w:t>374</w:t>
      </w:r>
      <w:r w:rsidR="005954F2">
        <w:t>.</w:t>
      </w:r>
      <w:r w:rsidR="008D5379">
        <w:t>137</w:t>
      </w:r>
      <w:r w:rsidR="005954F2">
        <w:t>,</w:t>
      </w:r>
      <w:r w:rsidR="008D5379">
        <w:t>23</w:t>
      </w:r>
    </w:p>
    <w:p w:rsidR="001560C5" w:rsidRPr="008D5379" w:rsidRDefault="001560C5" w:rsidP="001560C5">
      <w:pPr>
        <w:tabs>
          <w:tab w:val="left" w:pos="3420"/>
        </w:tabs>
        <w:spacing w:after="120"/>
      </w:pPr>
      <w:r>
        <w:t xml:space="preserve">Per quanto riguarda l’incidenza delle maggiori spese, secondo la loro classificazione, si può rilevare quanto </w:t>
      </w:r>
      <w:r w:rsidRPr="008D5379">
        <w:t xml:space="preserve">segue: </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4"/>
        <w:gridCol w:w="425"/>
        <w:gridCol w:w="2127"/>
      </w:tblGrid>
      <w:tr w:rsidR="001560C5" w:rsidRPr="008D5379" w:rsidTr="009C1ECE">
        <w:tc>
          <w:tcPr>
            <w:tcW w:w="6694" w:type="dxa"/>
            <w:tcBorders>
              <w:top w:val="dotted" w:sz="4" w:space="0" w:color="auto"/>
              <w:left w:val="dotted" w:sz="4" w:space="0" w:color="auto"/>
              <w:bottom w:val="dotted" w:sz="4" w:space="0" w:color="auto"/>
              <w:right w:val="dotted" w:sz="4" w:space="0" w:color="auto"/>
            </w:tcBorders>
            <w:hideMark/>
          </w:tcPr>
          <w:p w:rsidR="001560C5" w:rsidRPr="008D5379" w:rsidRDefault="001560C5" w:rsidP="009C1ECE">
            <w:pPr>
              <w:spacing w:after="120"/>
              <w:rPr>
                <w:rFonts w:cs="Calibri"/>
              </w:rPr>
            </w:pPr>
            <w:r w:rsidRPr="008D5379">
              <w:t xml:space="preserve">Spese per il personale al netto di IRAP </w:t>
            </w:r>
          </w:p>
        </w:tc>
        <w:tc>
          <w:tcPr>
            <w:tcW w:w="425" w:type="dxa"/>
            <w:tcBorders>
              <w:top w:val="dotted" w:sz="4" w:space="0" w:color="auto"/>
              <w:left w:val="dotted" w:sz="4" w:space="0" w:color="auto"/>
              <w:bottom w:val="dotted" w:sz="4" w:space="0" w:color="auto"/>
              <w:right w:val="dotted" w:sz="4" w:space="0" w:color="auto"/>
            </w:tcBorders>
            <w:hideMark/>
          </w:tcPr>
          <w:p w:rsidR="001560C5" w:rsidRPr="008D5379" w:rsidRDefault="001560C5" w:rsidP="009C1ECE">
            <w:pPr>
              <w:spacing w:after="120"/>
              <w:rPr>
                <w:rFonts w:cs="Calibri"/>
              </w:rPr>
            </w:pPr>
            <w:r w:rsidRPr="008D5379">
              <w:t>€</w:t>
            </w:r>
          </w:p>
        </w:tc>
        <w:tc>
          <w:tcPr>
            <w:tcW w:w="2127" w:type="dxa"/>
            <w:tcBorders>
              <w:top w:val="dotted" w:sz="4" w:space="0" w:color="auto"/>
              <w:left w:val="dotted" w:sz="4" w:space="0" w:color="auto"/>
              <w:bottom w:val="dotted" w:sz="4" w:space="0" w:color="auto"/>
              <w:right w:val="dotted" w:sz="4" w:space="0" w:color="auto"/>
            </w:tcBorders>
            <w:hideMark/>
          </w:tcPr>
          <w:p w:rsidR="001560C5" w:rsidRPr="008D5379" w:rsidRDefault="005954F2" w:rsidP="008D5379">
            <w:pPr>
              <w:spacing w:after="120"/>
              <w:jc w:val="right"/>
              <w:rPr>
                <w:rFonts w:cs="Calibri"/>
              </w:rPr>
            </w:pPr>
            <w:r w:rsidRPr="008D5379">
              <w:rPr>
                <w:rFonts w:cs="Calibri"/>
              </w:rPr>
              <w:t>1</w:t>
            </w:r>
            <w:r w:rsidR="008D5379" w:rsidRPr="008D5379">
              <w:rPr>
                <w:rFonts w:cs="Calibri"/>
              </w:rPr>
              <w:t>00</w:t>
            </w:r>
            <w:r w:rsidRPr="008D5379">
              <w:rPr>
                <w:rFonts w:cs="Calibri"/>
              </w:rPr>
              <w:t>.492,80</w:t>
            </w:r>
          </w:p>
        </w:tc>
      </w:tr>
      <w:tr w:rsidR="001560C5" w:rsidRPr="008D5379" w:rsidTr="009C1ECE">
        <w:tc>
          <w:tcPr>
            <w:tcW w:w="6694" w:type="dxa"/>
            <w:tcBorders>
              <w:top w:val="dotted" w:sz="4" w:space="0" w:color="auto"/>
              <w:left w:val="dotted" w:sz="4" w:space="0" w:color="auto"/>
              <w:bottom w:val="dotted" w:sz="4" w:space="0" w:color="auto"/>
              <w:right w:val="dotted" w:sz="4" w:space="0" w:color="auto"/>
            </w:tcBorders>
            <w:hideMark/>
          </w:tcPr>
          <w:p w:rsidR="001560C5" w:rsidRPr="008D5379" w:rsidRDefault="001560C5" w:rsidP="009C1ECE">
            <w:pPr>
              <w:spacing w:after="120"/>
              <w:rPr>
                <w:rFonts w:cs="Calibri"/>
              </w:rPr>
            </w:pPr>
            <w:r w:rsidRPr="008D5379">
              <w:t>Spese beni consumo o materie prime</w:t>
            </w:r>
          </w:p>
        </w:tc>
        <w:tc>
          <w:tcPr>
            <w:tcW w:w="425" w:type="dxa"/>
            <w:tcBorders>
              <w:top w:val="dotted" w:sz="4" w:space="0" w:color="auto"/>
              <w:left w:val="dotted" w:sz="4" w:space="0" w:color="auto"/>
              <w:bottom w:val="dotted" w:sz="4" w:space="0" w:color="auto"/>
              <w:right w:val="dotted" w:sz="4" w:space="0" w:color="auto"/>
            </w:tcBorders>
            <w:hideMark/>
          </w:tcPr>
          <w:p w:rsidR="001560C5" w:rsidRPr="008D5379" w:rsidRDefault="001560C5" w:rsidP="009C1ECE">
            <w:pPr>
              <w:spacing w:after="120"/>
              <w:rPr>
                <w:rFonts w:cs="Calibri"/>
              </w:rPr>
            </w:pPr>
            <w:r w:rsidRPr="008D5379">
              <w:t>€</w:t>
            </w:r>
          </w:p>
        </w:tc>
        <w:tc>
          <w:tcPr>
            <w:tcW w:w="2127" w:type="dxa"/>
            <w:tcBorders>
              <w:top w:val="dotted" w:sz="4" w:space="0" w:color="auto"/>
              <w:left w:val="dotted" w:sz="4" w:space="0" w:color="auto"/>
              <w:bottom w:val="dotted" w:sz="4" w:space="0" w:color="auto"/>
              <w:right w:val="dotted" w:sz="4" w:space="0" w:color="auto"/>
            </w:tcBorders>
            <w:hideMark/>
          </w:tcPr>
          <w:p w:rsidR="001560C5" w:rsidRPr="008D5379" w:rsidRDefault="008D5379" w:rsidP="009C1ECE">
            <w:pPr>
              <w:spacing w:after="120"/>
              <w:jc w:val="right"/>
              <w:rPr>
                <w:rFonts w:cs="Calibri"/>
              </w:rPr>
            </w:pPr>
            <w:r w:rsidRPr="008D5379">
              <w:t>94.084,84</w:t>
            </w:r>
          </w:p>
        </w:tc>
      </w:tr>
      <w:tr w:rsidR="001560C5" w:rsidRPr="008D5379" w:rsidTr="009C1ECE">
        <w:tc>
          <w:tcPr>
            <w:tcW w:w="6694" w:type="dxa"/>
            <w:tcBorders>
              <w:top w:val="dotted" w:sz="4" w:space="0" w:color="auto"/>
              <w:left w:val="dotted" w:sz="4" w:space="0" w:color="auto"/>
              <w:bottom w:val="dotted" w:sz="4" w:space="0" w:color="auto"/>
              <w:right w:val="dotted" w:sz="4" w:space="0" w:color="auto"/>
            </w:tcBorders>
            <w:hideMark/>
          </w:tcPr>
          <w:p w:rsidR="001560C5" w:rsidRPr="008D5379" w:rsidRDefault="008D5379" w:rsidP="008D5379">
            <w:pPr>
              <w:spacing w:after="120"/>
              <w:rPr>
                <w:rFonts w:cs="Calibri"/>
              </w:rPr>
            </w:pPr>
            <w:r w:rsidRPr="008D5379">
              <w:t xml:space="preserve">Trasferimenti correnti </w:t>
            </w:r>
          </w:p>
        </w:tc>
        <w:tc>
          <w:tcPr>
            <w:tcW w:w="425" w:type="dxa"/>
            <w:tcBorders>
              <w:top w:val="dotted" w:sz="4" w:space="0" w:color="auto"/>
              <w:left w:val="dotted" w:sz="4" w:space="0" w:color="auto"/>
              <w:bottom w:val="dotted" w:sz="4" w:space="0" w:color="auto"/>
              <w:right w:val="dotted" w:sz="4" w:space="0" w:color="auto"/>
            </w:tcBorders>
            <w:hideMark/>
          </w:tcPr>
          <w:p w:rsidR="001560C5" w:rsidRPr="008D5379" w:rsidRDefault="001560C5" w:rsidP="009C1ECE">
            <w:pPr>
              <w:spacing w:after="120"/>
              <w:rPr>
                <w:rFonts w:cs="Calibri"/>
              </w:rPr>
            </w:pPr>
            <w:r w:rsidRPr="008D5379">
              <w:t>€</w:t>
            </w:r>
          </w:p>
        </w:tc>
        <w:tc>
          <w:tcPr>
            <w:tcW w:w="2127" w:type="dxa"/>
            <w:tcBorders>
              <w:top w:val="dotted" w:sz="4" w:space="0" w:color="auto"/>
              <w:left w:val="dotted" w:sz="4" w:space="0" w:color="auto"/>
              <w:bottom w:val="dotted" w:sz="4" w:space="0" w:color="auto"/>
              <w:right w:val="dotted" w:sz="4" w:space="0" w:color="auto"/>
            </w:tcBorders>
            <w:hideMark/>
          </w:tcPr>
          <w:p w:rsidR="001560C5" w:rsidRPr="008D5379" w:rsidRDefault="008D5379" w:rsidP="008D5379">
            <w:pPr>
              <w:spacing w:after="0"/>
              <w:jc w:val="right"/>
            </w:pPr>
            <w:r w:rsidRPr="008D5379">
              <w:t>136.200,00</w:t>
            </w:r>
          </w:p>
        </w:tc>
      </w:tr>
      <w:tr w:rsidR="001560C5" w:rsidRPr="008D5379" w:rsidTr="009C1ECE">
        <w:tc>
          <w:tcPr>
            <w:tcW w:w="6694" w:type="dxa"/>
            <w:tcBorders>
              <w:top w:val="dotted" w:sz="4" w:space="0" w:color="auto"/>
              <w:left w:val="dotted" w:sz="4" w:space="0" w:color="auto"/>
              <w:bottom w:val="dotted" w:sz="4" w:space="0" w:color="auto"/>
              <w:right w:val="dotted" w:sz="4" w:space="0" w:color="auto"/>
            </w:tcBorders>
            <w:hideMark/>
          </w:tcPr>
          <w:p w:rsidR="001560C5" w:rsidRPr="008D5379" w:rsidRDefault="008D5379" w:rsidP="009C1ECE">
            <w:pPr>
              <w:spacing w:after="120"/>
              <w:rPr>
                <w:rFonts w:cs="Calibri"/>
              </w:rPr>
            </w:pPr>
            <w:r w:rsidRPr="008D5379">
              <w:t>Interessi passivi</w:t>
            </w:r>
          </w:p>
        </w:tc>
        <w:tc>
          <w:tcPr>
            <w:tcW w:w="425" w:type="dxa"/>
            <w:tcBorders>
              <w:top w:val="dotted" w:sz="4" w:space="0" w:color="auto"/>
              <w:left w:val="dotted" w:sz="4" w:space="0" w:color="auto"/>
              <w:bottom w:val="dotted" w:sz="4" w:space="0" w:color="auto"/>
              <w:right w:val="dotted" w:sz="4" w:space="0" w:color="auto"/>
            </w:tcBorders>
            <w:hideMark/>
          </w:tcPr>
          <w:p w:rsidR="001560C5" w:rsidRPr="008D5379" w:rsidRDefault="001560C5" w:rsidP="009C1ECE">
            <w:pPr>
              <w:spacing w:after="120"/>
              <w:rPr>
                <w:rFonts w:cs="Calibri"/>
              </w:rPr>
            </w:pPr>
            <w:r w:rsidRPr="008D5379">
              <w:t>€</w:t>
            </w:r>
          </w:p>
        </w:tc>
        <w:tc>
          <w:tcPr>
            <w:tcW w:w="2127" w:type="dxa"/>
            <w:tcBorders>
              <w:top w:val="dotted" w:sz="4" w:space="0" w:color="auto"/>
              <w:left w:val="dotted" w:sz="4" w:space="0" w:color="auto"/>
              <w:bottom w:val="dotted" w:sz="4" w:space="0" w:color="auto"/>
              <w:right w:val="dotted" w:sz="4" w:space="0" w:color="auto"/>
            </w:tcBorders>
            <w:hideMark/>
          </w:tcPr>
          <w:p w:rsidR="001560C5" w:rsidRPr="008D5379" w:rsidRDefault="008D5379" w:rsidP="009C1ECE">
            <w:pPr>
              <w:spacing w:after="120"/>
              <w:jc w:val="right"/>
              <w:rPr>
                <w:rFonts w:cs="Calibri"/>
              </w:rPr>
            </w:pPr>
            <w:r w:rsidRPr="008D5379">
              <w:t>19.699,01</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Pr="008D5379" w:rsidRDefault="008D5379" w:rsidP="009C1ECE">
            <w:pPr>
              <w:spacing w:after="120"/>
              <w:rPr>
                <w:rFonts w:cs="Calibri"/>
              </w:rPr>
            </w:pPr>
            <w:r w:rsidRPr="008D5379">
              <w:t>Imposte e tasse</w:t>
            </w:r>
          </w:p>
        </w:tc>
        <w:tc>
          <w:tcPr>
            <w:tcW w:w="425" w:type="dxa"/>
            <w:tcBorders>
              <w:top w:val="dotted" w:sz="4" w:space="0" w:color="auto"/>
              <w:left w:val="dotted" w:sz="4" w:space="0" w:color="auto"/>
              <w:bottom w:val="dotted" w:sz="4" w:space="0" w:color="auto"/>
              <w:right w:val="dotted" w:sz="4" w:space="0" w:color="auto"/>
            </w:tcBorders>
            <w:hideMark/>
          </w:tcPr>
          <w:p w:rsidR="001560C5" w:rsidRPr="008D5379" w:rsidRDefault="001560C5" w:rsidP="009C1ECE">
            <w:pPr>
              <w:spacing w:after="120"/>
              <w:rPr>
                <w:rFonts w:cs="Calibri"/>
              </w:rPr>
            </w:pPr>
            <w:r w:rsidRPr="008D5379">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8D5379" w:rsidP="009C1ECE">
            <w:pPr>
              <w:spacing w:after="120"/>
              <w:jc w:val="right"/>
              <w:rPr>
                <w:rFonts w:cs="Calibri"/>
              </w:rPr>
            </w:pPr>
            <w:r w:rsidRPr="008D5379">
              <w:rPr>
                <w:rFonts w:cs="Calibri"/>
              </w:rPr>
              <w:t>19.320,61</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pPr>
    </w:p>
    <w:p w:rsidR="001560C5" w:rsidRDefault="001560C5" w:rsidP="001560C5">
      <w:pPr>
        <w:tabs>
          <w:tab w:val="left" w:pos="3420"/>
        </w:tabs>
        <w:spacing w:after="120"/>
      </w:pPr>
      <w:r>
        <w:t>Sono state impegnate in conto capitale spese per € 0</w:t>
      </w:r>
    </w:p>
    <w:p w:rsidR="001560C5" w:rsidRDefault="001560C5" w:rsidP="001560C5">
      <w:pPr>
        <w:tabs>
          <w:tab w:val="left" w:pos="3420"/>
        </w:tabs>
        <w:spacing w:after="120"/>
      </w:pPr>
      <w:r>
        <w:t xml:space="preserve">Le spese per rimborso di prestiti ammontano complessivamente ad  €  45.572,52  e precisamente: </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4"/>
        <w:gridCol w:w="425"/>
        <w:gridCol w:w="2127"/>
      </w:tblGrid>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per anticipazioni di cassa</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0"/>
            </w:pP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per quota capitale dei mutui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5954F2" w:rsidP="005954F2">
            <w:pPr>
              <w:spacing w:after="120"/>
              <w:jc w:val="right"/>
              <w:rPr>
                <w:rFonts w:cs="Calibri"/>
              </w:rPr>
            </w:pPr>
            <w:r>
              <w:rPr>
                <w:rFonts w:cs="Calibri"/>
              </w:rPr>
              <w:t>27</w:t>
            </w:r>
            <w:r w:rsidR="00960B4B">
              <w:rPr>
                <w:rFonts w:cs="Calibri"/>
              </w:rPr>
              <w:t>.</w:t>
            </w:r>
            <w:r>
              <w:rPr>
                <w:rFonts w:cs="Calibri"/>
              </w:rPr>
              <w:t>117</w:t>
            </w:r>
            <w:r w:rsidR="00960B4B">
              <w:rPr>
                <w:rFonts w:cs="Calibri"/>
              </w:rPr>
              <w:t>,</w:t>
            </w:r>
            <w:r>
              <w:rPr>
                <w:rFonts w:cs="Calibri"/>
              </w:rPr>
              <w:t>50</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jc w:val="both"/>
      </w:pPr>
      <w:r>
        <w:lastRenderedPageBreak/>
        <w:t xml:space="preserve">Sono stati determinati residui passivi per €  </w:t>
      </w:r>
      <w:r w:rsidR="005954F2">
        <w:t>719</w:t>
      </w:r>
      <w:r w:rsidR="00960B4B">
        <w:t>.</w:t>
      </w:r>
      <w:r w:rsidR="005954F2">
        <w:t>758</w:t>
      </w:r>
      <w:r w:rsidR="00960B4B">
        <w:t>,</w:t>
      </w:r>
      <w:r w:rsidR="005954F2">
        <w:t xml:space="preserve">66 </w:t>
      </w:r>
      <w:r>
        <w:t xml:space="preserve">derivanti da esercizi precedenti e per          € </w:t>
      </w:r>
      <w:r w:rsidR="005954F2">
        <w:t>155</w:t>
      </w:r>
      <w:r w:rsidR="00960B4B">
        <w:t>.</w:t>
      </w:r>
      <w:r w:rsidR="005954F2">
        <w:t>975</w:t>
      </w:r>
      <w:r w:rsidR="00960B4B">
        <w:t>,</w:t>
      </w:r>
      <w:r w:rsidR="005954F2">
        <w:t>85</w:t>
      </w:r>
      <w:r>
        <w:t xml:space="preserve">   della competenza. </w:t>
      </w:r>
    </w:p>
    <w:p w:rsidR="001560C5" w:rsidRDefault="001560C5" w:rsidP="001560C5">
      <w:pPr>
        <w:tabs>
          <w:tab w:val="left" w:pos="3420"/>
        </w:tabs>
        <w:spacing w:after="120"/>
      </w:pPr>
      <w:r>
        <w:t xml:space="preserve">Le partite di giro pareggiano nell’importo di € </w:t>
      </w:r>
      <w:r w:rsidR="00960B4B">
        <w:t>5</w:t>
      </w:r>
      <w:r w:rsidR="005954F2">
        <w:t>4</w:t>
      </w:r>
      <w:r w:rsidR="00960B4B">
        <w:t>.</w:t>
      </w:r>
      <w:r w:rsidR="005954F2">
        <w:t>729</w:t>
      </w:r>
      <w:r w:rsidR="00960B4B">
        <w:t>,</w:t>
      </w:r>
      <w:r w:rsidR="005954F2">
        <w:t>58</w:t>
      </w:r>
    </w:p>
    <w:p w:rsidR="001560C5" w:rsidRDefault="001560C5" w:rsidP="001560C5">
      <w:pPr>
        <w:tabs>
          <w:tab w:val="left" w:pos="3420"/>
        </w:tabs>
        <w:spacing w:after="120"/>
        <w:jc w:val="center"/>
        <w:rPr>
          <w:b/>
        </w:rPr>
      </w:pPr>
    </w:p>
    <w:p w:rsidR="001560C5" w:rsidRDefault="001560C5" w:rsidP="001560C5">
      <w:pPr>
        <w:tabs>
          <w:tab w:val="left" w:pos="3420"/>
        </w:tabs>
        <w:spacing w:after="120"/>
        <w:jc w:val="center"/>
        <w:rPr>
          <w:b/>
        </w:rPr>
      </w:pPr>
    </w:p>
    <w:p w:rsidR="001560C5" w:rsidRDefault="001560C5" w:rsidP="001560C5">
      <w:pPr>
        <w:tabs>
          <w:tab w:val="left" w:pos="3420"/>
        </w:tabs>
        <w:spacing w:after="120"/>
        <w:jc w:val="center"/>
        <w:rPr>
          <w:b/>
        </w:rPr>
      </w:pPr>
      <w:r>
        <w:rPr>
          <w:b/>
        </w:rPr>
        <w:t xml:space="preserve">NON </w:t>
      </w:r>
      <w:proofErr w:type="spellStart"/>
      <w:r>
        <w:rPr>
          <w:b/>
        </w:rPr>
        <w:t>CI</w:t>
      </w:r>
      <w:proofErr w:type="spellEnd"/>
      <w:r>
        <w:rPr>
          <w:b/>
        </w:rPr>
        <w:t xml:space="preserve"> SONO  SERVIZI PRODUTTIVI ED A DOMANDA INDIVIDUALE</w:t>
      </w:r>
    </w:p>
    <w:p w:rsidR="001560C5" w:rsidRDefault="001560C5" w:rsidP="001560C5">
      <w:pPr>
        <w:tabs>
          <w:tab w:val="left" w:pos="3420"/>
        </w:tabs>
        <w:spacing w:after="120"/>
        <w:rPr>
          <w:b/>
          <w:i/>
        </w:rPr>
      </w:pPr>
      <w:r>
        <w:rPr>
          <w:b/>
          <w:i/>
        </w:rPr>
        <w:t>Servizi produttivi</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993"/>
        <w:gridCol w:w="2250"/>
        <w:gridCol w:w="2251"/>
      </w:tblGrid>
      <w:tr w:rsidR="001560C5" w:rsidTr="009C1ECE">
        <w:tc>
          <w:tcPr>
            <w:tcW w:w="4993"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Servizio</w:t>
            </w:r>
          </w:p>
        </w:tc>
        <w:tc>
          <w:tcPr>
            <w:tcW w:w="2250"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Impegni / €</w:t>
            </w:r>
          </w:p>
        </w:tc>
        <w:tc>
          <w:tcPr>
            <w:tcW w:w="225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Accertamenti / €</w:t>
            </w:r>
          </w:p>
        </w:tc>
      </w:tr>
      <w:tr w:rsidR="001560C5" w:rsidTr="009C1ECE">
        <w:tc>
          <w:tcPr>
            <w:tcW w:w="4993"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p>
        </w:tc>
        <w:tc>
          <w:tcPr>
            <w:tcW w:w="2250"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225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r>
      <w:tr w:rsidR="001560C5" w:rsidTr="009C1ECE">
        <w:tc>
          <w:tcPr>
            <w:tcW w:w="4993"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250"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225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rPr>
          <w:b/>
          <w:i/>
        </w:rPr>
      </w:pPr>
      <w:r>
        <w:rPr>
          <w:b/>
          <w:i/>
        </w:rPr>
        <w:t>Servizi a domanda individuale</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717"/>
        <w:gridCol w:w="2126"/>
        <w:gridCol w:w="2127"/>
        <w:gridCol w:w="1417"/>
      </w:tblGrid>
      <w:tr w:rsidR="001560C5" w:rsidTr="009C1ECE">
        <w:tc>
          <w:tcPr>
            <w:tcW w:w="37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Servizio</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Impegni €</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Accertamenti €</w:t>
            </w:r>
          </w:p>
        </w:tc>
        <w:tc>
          <w:tcPr>
            <w:tcW w:w="14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Copertura %</w:t>
            </w:r>
          </w:p>
        </w:tc>
      </w:tr>
      <w:tr w:rsidR="001560C5" w:rsidTr="009C1ECE">
        <w:tc>
          <w:tcPr>
            <w:tcW w:w="37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14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rPr>
            </w:pPr>
            <w:r>
              <w:t>,00 %</w:t>
            </w:r>
          </w:p>
        </w:tc>
      </w:tr>
      <w:tr w:rsidR="001560C5" w:rsidTr="009C1ECE">
        <w:tc>
          <w:tcPr>
            <w:tcW w:w="37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14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rPr>
            </w:pPr>
            <w:r>
              <w:t>,00 %</w:t>
            </w:r>
          </w:p>
        </w:tc>
      </w:tr>
      <w:tr w:rsidR="001560C5" w:rsidTr="009C1ECE">
        <w:tc>
          <w:tcPr>
            <w:tcW w:w="37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b/>
                <w:i/>
              </w:rPr>
            </w:pPr>
            <w:r>
              <w:rPr>
                <w:b/>
                <w:i/>
              </w:rPr>
              <w:t>TOTALE</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b/>
                <w:i/>
              </w:rPr>
            </w:pPr>
            <w:r>
              <w:rPr>
                <w:b/>
                <w:i/>
              </w:rPr>
              <w:t>,00</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b/>
                <w:i/>
              </w:rPr>
            </w:pPr>
            <w:r>
              <w:rPr>
                <w:b/>
                <w:i/>
              </w:rPr>
              <w:t>,00</w:t>
            </w:r>
          </w:p>
        </w:tc>
        <w:tc>
          <w:tcPr>
            <w:tcW w:w="14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i/>
              </w:rPr>
            </w:pPr>
            <w:r>
              <w:rPr>
                <w:b/>
                <w:i/>
              </w:rPr>
              <w:t>,00 %</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pPr>
      <w:r>
        <w:t xml:space="preserve">Il conto del patrimonio redatto secondo quanto previsto dall’articolo 230 del decreto legislativo numero 267/2000, evidenzia un patrimonio netto di €  </w:t>
      </w:r>
      <w:r>
        <w:softHyphen/>
      </w:r>
      <w:r>
        <w:softHyphen/>
      </w:r>
      <w:r>
        <w:softHyphen/>
      </w:r>
      <w:r>
        <w:softHyphen/>
      </w:r>
      <w:r>
        <w:softHyphen/>
      </w:r>
      <w:r w:rsidR="006B02BF">
        <w:t>1.</w:t>
      </w:r>
      <w:r w:rsidR="005954F2">
        <w:t>069</w:t>
      </w:r>
      <w:r w:rsidR="007E273D">
        <w:t>.</w:t>
      </w:r>
      <w:r w:rsidR="005954F2">
        <w:t>157</w:t>
      </w:r>
      <w:r w:rsidR="007E273D">
        <w:t>,</w:t>
      </w:r>
      <w:r w:rsidR="005954F2">
        <w:t>95</w:t>
      </w:r>
    </w:p>
    <w:p w:rsidR="001560C5" w:rsidRDefault="001560C5" w:rsidP="001560C5">
      <w:pPr>
        <w:tabs>
          <w:tab w:val="left" w:pos="3420"/>
        </w:tabs>
        <w:spacing w:after="120"/>
      </w:pPr>
    </w:p>
    <w:p w:rsidR="001560C5" w:rsidRDefault="001560C5" w:rsidP="001560C5">
      <w:pPr>
        <w:tabs>
          <w:tab w:val="left" w:pos="3420"/>
        </w:tabs>
        <w:spacing w:after="120"/>
      </w:pPr>
    </w:p>
    <w:p w:rsidR="007E273D" w:rsidRDefault="001560C5" w:rsidP="007E273D">
      <w:pPr>
        <w:tabs>
          <w:tab w:val="left" w:pos="3420"/>
        </w:tabs>
        <w:spacing w:after="120"/>
      </w:pPr>
      <w:proofErr w:type="spellStart"/>
      <w:r>
        <w:t>_Acquapendente</w:t>
      </w:r>
      <w:proofErr w:type="spellEnd"/>
      <w:r>
        <w:t xml:space="preserve">  </w:t>
      </w:r>
      <w:r w:rsidR="00E91F83">
        <w:t xml:space="preserve"> </w:t>
      </w:r>
      <w:r w:rsidR="005954F2">
        <w:t>13</w:t>
      </w:r>
      <w:r>
        <w:t>/0</w:t>
      </w:r>
      <w:r w:rsidR="005954F2">
        <w:t>4</w:t>
      </w:r>
      <w:r>
        <w:t>/20</w:t>
      </w:r>
      <w:r w:rsidR="00E91F83">
        <w:t>2</w:t>
      </w:r>
      <w:r w:rsidR="005954F2">
        <w:t>1</w:t>
      </w:r>
    </w:p>
    <w:p w:rsidR="007E273D" w:rsidRDefault="007E273D" w:rsidP="007E273D">
      <w:pPr>
        <w:tabs>
          <w:tab w:val="left" w:pos="3420"/>
        </w:tabs>
        <w:spacing w:after="120"/>
      </w:pPr>
    </w:p>
    <w:p w:rsidR="001560C5" w:rsidRPr="007E273D" w:rsidRDefault="001560C5" w:rsidP="007E273D">
      <w:pPr>
        <w:tabs>
          <w:tab w:val="left" w:pos="3420"/>
        </w:tabs>
        <w:spacing w:after="120"/>
      </w:pPr>
      <w:r>
        <w:rPr>
          <w:b/>
        </w:rPr>
        <w:t xml:space="preserve">          IL </w:t>
      </w:r>
      <w:r w:rsidR="007E273D">
        <w:rPr>
          <w:b/>
        </w:rPr>
        <w:t>Commissario straordinario</w:t>
      </w:r>
      <w:r>
        <w:rPr>
          <w:b/>
        </w:rPr>
        <w:t xml:space="preserve"> </w:t>
      </w:r>
      <w:r w:rsidR="007E273D">
        <w:rPr>
          <w:b/>
        </w:rPr>
        <w:t xml:space="preserve"> </w:t>
      </w:r>
      <w:r>
        <w:rPr>
          <w:b/>
        </w:rPr>
        <w:tab/>
      </w:r>
      <w:r w:rsidR="007E273D">
        <w:rPr>
          <w:b/>
        </w:rPr>
        <w:t xml:space="preserve">                                                              </w:t>
      </w:r>
      <w:r>
        <w:rPr>
          <w:b/>
        </w:rPr>
        <w:t>Il Responsabile del Servizio</w:t>
      </w:r>
    </w:p>
    <w:p w:rsidR="001560C5" w:rsidRDefault="001560C5" w:rsidP="001560C5">
      <w:pPr>
        <w:tabs>
          <w:tab w:val="left" w:pos="6973"/>
        </w:tabs>
        <w:spacing w:after="120"/>
      </w:pPr>
    </w:p>
    <w:p w:rsidR="001560C5" w:rsidRDefault="007E273D" w:rsidP="001560C5">
      <w:pPr>
        <w:tabs>
          <w:tab w:val="left" w:pos="3420"/>
        </w:tabs>
        <w:spacing w:after="120"/>
      </w:pPr>
      <w:r>
        <w:t xml:space="preserve">                      </w:t>
      </w:r>
      <w:r w:rsidR="001560C5">
        <w:t>_________________</w:t>
      </w:r>
      <w:r w:rsidR="001560C5">
        <w:tab/>
      </w:r>
      <w:r w:rsidR="001560C5">
        <w:tab/>
      </w:r>
      <w:r w:rsidR="001560C5">
        <w:tab/>
      </w:r>
      <w:r w:rsidR="001560C5">
        <w:tab/>
      </w:r>
      <w:r w:rsidR="001560C5">
        <w:tab/>
        <w:t xml:space="preserve"> </w:t>
      </w:r>
      <w:r w:rsidR="001560C5">
        <w:tab/>
        <w:t xml:space="preserve">        _________________</w:t>
      </w:r>
    </w:p>
    <w:p w:rsidR="001560C5" w:rsidRDefault="001560C5" w:rsidP="001560C5">
      <w:pPr>
        <w:tabs>
          <w:tab w:val="left" w:pos="3420"/>
        </w:tabs>
        <w:spacing w:after="120"/>
        <w:ind w:left="360"/>
      </w:pPr>
    </w:p>
    <w:p w:rsidR="001560C5" w:rsidRDefault="001560C5" w:rsidP="001560C5">
      <w:pPr>
        <w:tabs>
          <w:tab w:val="left" w:pos="1800"/>
        </w:tabs>
        <w:spacing w:after="120"/>
        <w:ind w:left="3420"/>
      </w:pPr>
    </w:p>
    <w:p w:rsidR="001560C5" w:rsidRDefault="001560C5" w:rsidP="001560C5">
      <w:pPr>
        <w:rPr>
          <w:rFonts w:ascii="Times New Roman" w:hAnsi="Times New Roman"/>
        </w:rPr>
      </w:pPr>
    </w:p>
    <w:p w:rsidR="001560C5" w:rsidRDefault="001560C5" w:rsidP="001560C5">
      <w:pPr>
        <w:rPr>
          <w:rFonts w:ascii="Times New Roman" w:hAnsi="Times New Roman"/>
        </w:rPr>
      </w:pPr>
    </w:p>
    <w:p w:rsidR="001560C5" w:rsidRDefault="001560C5" w:rsidP="001560C5"/>
    <w:p w:rsidR="001560C5" w:rsidRDefault="001560C5" w:rsidP="001560C5"/>
    <w:p w:rsidR="00A42717" w:rsidRPr="001560C5" w:rsidRDefault="00A42717" w:rsidP="001560C5"/>
    <w:sectPr w:rsidR="00A42717" w:rsidRPr="001560C5" w:rsidSect="00AD65B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76609"/>
    <w:multiLevelType w:val="hybridMultilevel"/>
    <w:tmpl w:val="5F8AB30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1560C5"/>
    <w:rsid w:val="00012FA5"/>
    <w:rsid w:val="001560C5"/>
    <w:rsid w:val="002B080F"/>
    <w:rsid w:val="002E6F51"/>
    <w:rsid w:val="005954F2"/>
    <w:rsid w:val="00632DDC"/>
    <w:rsid w:val="006B02BF"/>
    <w:rsid w:val="00743EF7"/>
    <w:rsid w:val="007B7D3D"/>
    <w:rsid w:val="007E273D"/>
    <w:rsid w:val="008D5379"/>
    <w:rsid w:val="00960B4B"/>
    <w:rsid w:val="00A42717"/>
    <w:rsid w:val="00BA72F7"/>
    <w:rsid w:val="00C24761"/>
    <w:rsid w:val="00D76B0B"/>
    <w:rsid w:val="00E35538"/>
    <w:rsid w:val="00E91F83"/>
    <w:rsid w:val="00F843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60C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2020-06-24T06:57:00Z</cp:lastPrinted>
  <dcterms:created xsi:type="dcterms:W3CDTF">2021-04-15T13:44:00Z</dcterms:created>
  <dcterms:modified xsi:type="dcterms:W3CDTF">2021-04-15T13:44:00Z</dcterms:modified>
</cp:coreProperties>
</file>